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  <w:t>重庆市经济和信息化委员会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  <w:t>关于印发《重庆市中试平台认定管理办法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</w:pPr>
      <w:r>
        <w:rPr>
          <w:rStyle w:val="11"/>
          <w:rFonts w:hint="eastAsia" w:ascii="方正小标宋_GBK" w:hAnsi="方正小标宋_GBK" w:eastAsia="方正小标宋_GBK" w:cs="方正小标宋_GBK"/>
          <w:b w:val="0"/>
          <w:kern w:val="2"/>
          <w:sz w:val="44"/>
          <w:szCs w:val="44"/>
          <w:shd w:val="clear" w:color="auto" w:fill="FFFFFF"/>
          <w:lang w:val="en-US" w:eastAsia="zh-CN" w:bidi="ar-SA"/>
        </w:rPr>
        <w:t>（暂行）》的通知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仿宋_GB2312" w:cs="Times New Roman"/>
          <w:color w:val="000000"/>
          <w:sz w:val="24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渝经信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规范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〔202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54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auto"/>
          <w:spacing w:val="0"/>
          <w:sz w:val="44"/>
          <w:szCs w:val="44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  <w:t>各区县（自治县）经济信息委，两江新区、西部科学城重庆高新区、万盛经开区经信部门，有关单位：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  <w:t>为深入贯彻落实党中央、国务院决策部署和市委、市政府工作安排，加快布局建设一批制造业中试平台，进一步规范中试平台建设和管理，提高科技成果转化和产业化水平，现将《重庆市中试平台认定管理办法（暂行）》印发给你们，请结合实际，认真贯彻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tabs>
          <w:tab w:val="left" w:pos="819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  <w:t xml:space="preserve">                       重庆市经济和信息化委员会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  <w:t xml:space="preserve">                           2024年11月24日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kern w:val="36"/>
          <w:sz w:val="32"/>
          <w:szCs w:val="32"/>
          <w:lang w:val="en-US" w:eastAsia="zh-CN" w:bidi="ar-SA"/>
        </w:rPr>
        <w:t>（此件公开发布）</w:t>
      </w:r>
    </w:p>
    <w:p>
      <w:pPr>
        <w:pStyle w:val="9"/>
        <w:keepNext w:val="0"/>
        <w:keepLines w:val="0"/>
        <w:pageBreakBefore w:val="0"/>
        <w:widowControl/>
        <w:suppressLineNumbers w:val="0"/>
        <w:shd w:val="clear" w:color="auto"/>
        <w:kinsoku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right="0" w:rightChars="0"/>
        <w:jc w:val="both"/>
        <w:textAlignment w:val="auto"/>
        <w:rPr>
          <w:rFonts w:hint="eastAsia" w:ascii="方正仿宋_GBK" w:hAnsi="方正仿宋_GBK" w:eastAsia="方正仿宋_GBK" w:cs="方正仿宋_GBK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left="0" w:leftChars="0" w:right="0" w:rightChars="0" w:firstLine="0" w:firstLineChars="0"/>
        <w:textAlignment w:val="auto"/>
        <w:outlineLvl w:val="9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contextualSpacing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600" w:lineRule="exact"/>
        <w:ind w:left="0" w:leftChars="0" w:right="0" w:rightChars="0" w:firstLine="0" w:firstLineChars="0"/>
        <w:contextualSpacing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suppressAutoHyphens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40" w:lineRule="exact"/>
        <w:ind w:left="0" w:leftChars="0" w:right="0" w:rightChars="0" w:firstLine="0" w:firstLineChars="0"/>
        <w:contextualSpacing/>
        <w:jc w:val="center"/>
        <w:textAlignment w:val="auto"/>
        <w:outlineLvl w:val="9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  <w:t>重庆市中试平台认定管理办法（暂行）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eastAsia" w:ascii="Times New Roman" w:hAnsi="Times New Roman" w:eastAsia="方正小标宋_GBK" w:cs="方正小标宋_GBK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第一章  总  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第一条</w:t>
      </w:r>
      <w:r>
        <w:rPr>
          <w:rFonts w:hint="eastAsia" w:ascii="Times New Roman" w:hAnsi="Times New Roman" w:eastAsia="方正仿宋_GBK" w:cs="方正仿宋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为提升全市科技成果转化和产业中试支撑能力，促进科技创新与产业创新融合发展，更好培育发展新质生产力，助推重点产业强链补链，结合我市实际情况，特制定本办法。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第二条</w:t>
      </w:r>
      <w:r>
        <w:rPr>
          <w:rFonts w:hint="eastAsia" w:ascii="Times New Roman" w:hAnsi="Times New Roman" w:eastAsia="方正楷体_GBK" w:cs="方正楷体_GBK"/>
          <w:color w:val="000000"/>
          <w:sz w:val="32"/>
          <w:szCs w:val="4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制造业中试平台（以下简称中试平台）是面向制造业创新发展需求，汇聚各类产业资源，推动科技成果转化应用，提供技术研发转化、性能工艺改进、工艺放大熟化、产品型式试验、产品性能测试、小批量试生产、仪器设备共享、设备应用验证等专业化服务和系统化解决方案的载体，对产业科技创新发挥战略支撑引领作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cs="Times New Roman"/>
          <w:color w:val="000000"/>
          <w:sz w:val="21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第三条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鼓励企业、高等院校、科研院所、行业创新平台等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企事业单位和社会组织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围绕我市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33618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现代制造业集群重点发展方向及需求，采取联合或独立方式，建设面向社会开放共享的中试平台。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cs="Times New Roman"/>
          <w:color w:val="000000"/>
          <w:sz w:val="21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第四条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坚持“政府引导、市场主导、聚焦产业、开放共享”的建设原则，以及“自主申报、评审认定、动态管理、择优支持”的管理原则。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第五条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重庆市经济和信息化委员会（以下简称市经济信息委）负责全市中试平台的规划布局、建设指导、认定管理、绩效评价等工作。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各区县经信部门负责本区域中试平台的培育建设、申报推荐、协调指导、政策落实、日常管理等工作。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40"/>
          <w:highlight w:val="none"/>
          <w:lang w:val="en-US" w:eastAsia="zh-CN" w:bidi="ar-SA"/>
        </w:rPr>
        <w:t>中试平台建设运营主体负责落实建设、运行、管理等主体责任，为平台建设运行提供人、财、物等必备条件。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default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第二章  认定条件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第六条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申报重庆市中试平台的单位应当具备以下基本条件：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（一）基础条件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。中试平台应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围绕我市重点产业链技术创新需求，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提供科技成果转化服务。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建设申报主体须为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企业、高等院校、科研院所、行业创新平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台等具备法人实体的企事业单位和社会组织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（二）场地设备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有承担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相关领域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中试任务必需的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试验设备、测试仪器、基础软件和工业软件，有固定中试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场地及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安全、环保等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配套设施，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试验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场地相对集中。中试场地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及周边配套设施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面积1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00平方米（含）以上，专用软件及设备原值500万元（含）以上。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（三）专业人员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。拥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专业的中试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人才队伍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</w:rPr>
        <w:t>对相关领域中试研究工作熟悉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具备组织制定科学合理的中试熟化方案、工艺规程及控制生产质量的固定研发团队。人才队伍结构合理，应具有行业科研人员、企业管理人才、技术工程师等多元人才支撑体系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。拥有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专职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技术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人员10名（含）以上，其中具有本科（含）以上学历或中级（含）以上职称的技术人员占总人数的50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%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（含）以上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，或具有技术经理人才3名（含）以上。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（四）服务能力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具有技术成果转化的相关经验，拥有能够提供数据模拟、工艺改进、样品试制、产品示范等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服务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的中试线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愿意发挥中试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平台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的作用，能为高校、科研机构、企业等提供开放共享中试服务。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（五）其他条件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自申报截止日期前三年内，未发生安全、环保、司法、行政机关认定的严重违规违法及失信行为，如有失信行为需已完成修复。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default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第三章  认定程序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第七条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中试平台认定采取自愿申报及区县推荐相结合的方式</w:t>
      </w:r>
      <w:r>
        <w:rPr>
          <w:rFonts w:hint="eastAsia" w:ascii="Times New Roman" w:hAnsi="Times New Roman" w:eastAsia="方正仿宋_GBK" w:cs="方正仿宋_GBK"/>
          <w:color w:val="000000"/>
          <w:kern w:val="2"/>
          <w:sz w:val="32"/>
          <w:szCs w:val="32"/>
          <w:highlight w:val="none"/>
          <w:lang w:val="en-US" w:eastAsia="zh-CN" w:bidi="ar"/>
        </w:rPr>
        <w:t>实施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cs="Times New Roman"/>
          <w:color w:val="000000"/>
          <w:sz w:val="21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（一）组织申报。中试平台认定申报工作原则上每年开展一次，由市经济信息委发布重庆市中试平台认定申报通知，申请单位根据通知要求提交申请及相关支撑材料，报所在区县经信部门。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（二）区县推荐。各区县经信部门负责辖区内中试平台认定的申报推荐工作，对申报材料的完整性、规范性、真实性等进行审核并提出推荐意见。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（三）市级认定。市经济信息委按照公平、公正、公开的原则，对各区县提交的申报材料进行审核，组织专家评审，综合研究论证后，择优认定。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（四）挂牌命名。市经济信息委对认定的中试平台授予“重庆市制造业中试平台（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XXX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方向）”，挂统一标牌，实施统一管理。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default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第四章  管理评价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第八条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中试平台</w:t>
      </w:r>
      <w:r>
        <w:rPr>
          <w:rFonts w:hint="eastAsia" w:ascii="Times New Roman" w:hAnsi="Times New Roman" w:eastAsia="方正仿宋_GBK" w:cs="方正仿宋_GBK"/>
          <w:i w:val="0"/>
          <w:iCs w:val="0"/>
          <w:caps w:val="0"/>
          <w:color w:val="000000"/>
          <w:spacing w:val="0"/>
          <w:kern w:val="2"/>
          <w:sz w:val="32"/>
          <w:szCs w:val="40"/>
          <w:highlight w:val="none"/>
          <w:shd w:val="clear" w:color="auto" w:fill="auto"/>
          <w:lang w:val="en-US" w:eastAsia="zh-CN" w:bidi="ar"/>
        </w:rPr>
        <w:t>有效期为三年，在有效期满当年可申请复核，复核程序与认定程序一致。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复核通过后，有效期延长三年。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第九条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中试平台实行年度报告制度，中试平台申报主体应于每年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1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月底前提交上一年度工作报告及当年工作计划。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第十条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存在下列情形之一的，撤销重庆市中试平台资格：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（一）由于管理不善导致严重服务质量事故、安全事故或环保事故的。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（二）有提供虚假材料或数据等严重失信行为或有不良信用记录的。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（三）有重大违法、违规行为，受到有关部门处罚的。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（四）连续两年无故不提交年度报告的。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（五）其他需要取消的情况。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因（一）（二）（三）（四）项所列原因被撤销资格的，自撤销之日起，三年内不得再次申请认定。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第十一条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中试平台发生研究方向改变、分立、合并、更名等重大事项变化的，应在发生变更后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3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个月内以书面形式报区县经信部门初审后，报市经济信息委审核备案。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第十二条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 xml:space="preserve">  各区县经信部门根据市经济信息委有关工作部署要求，组织辖区内中试平台复核等相关工作。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第五章  支持政策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第十三条</w:t>
      </w:r>
      <w:r>
        <w:rPr>
          <w:rFonts w:hint="eastAsia" w:ascii="Times New Roman" w:hAnsi="Times New Roman" w:eastAsia="方正楷体_GBK" w:cs="方正楷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b/>
          <w:bCs/>
          <w:color w:val="000000"/>
          <w:sz w:val="32"/>
          <w:szCs w:val="40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支持中试平台建设升级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，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对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</w:rPr>
        <w:t>通过认定授牌的</w:t>
      </w:r>
      <w:r>
        <w:rPr>
          <w:rFonts w:hint="eastAsia" w:ascii="Times New Roman" w:hAnsi="Times New Roman" w:eastAsia="方正仿宋_GBK" w:cs="方正仿宋_GBK"/>
          <w:color w:val="000000"/>
          <w:sz w:val="32"/>
          <w:szCs w:val="40"/>
          <w:highlight w:val="none"/>
          <w:lang w:val="en-US" w:eastAsia="zh-CN"/>
        </w:rPr>
        <w:t>新建中试平台给予创建资金补贴，对市场化运行成效良好的平台给予运营补贴，并提供金融、人才等资源要素的对接服务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鼓励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社会资本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联合中试平台设立产业投资基金，以“捐投结合”等方式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赋能中试平台体系建设。鼓励各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区县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给予一定配套支持。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（一）创建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补贴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新组建中试平台经认定后，按其近两年内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实际设备投资额（软件费、设备购置及安装费、网络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系统集成费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）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的一定比例给予建设主体一次性资金补贴，同一平台支持金额不超过500万元。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（二）运营补贴。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自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中试平台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取得授牌次年度起，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综合评估平台技术水平和对外提供服务情况，择优按其年度服务性收入的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一定比例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给予运营补贴，年度最高支持金额不超过200万元。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同一平台三年内最多享受一次。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default" w:ascii="Times New Roman" w:hAnsi="Times New Roman" w:eastAsia="宋体" w:cs="Times New Roman"/>
          <w:color w:val="000000"/>
          <w:kern w:val="2"/>
          <w:sz w:val="21"/>
          <w:szCs w:val="24"/>
          <w:highlight w:val="none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0"/>
        <w:rPr>
          <w:rFonts w:hint="default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方正黑体_GBK" w:cs="方正黑体_GBK"/>
          <w:color w:val="000000"/>
          <w:sz w:val="32"/>
          <w:szCs w:val="40"/>
          <w:highlight w:val="none"/>
          <w:lang w:val="en-US" w:eastAsia="zh-CN"/>
        </w:rPr>
        <w:t>第六章  附  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2"/>
          <w:szCs w:val="40"/>
          <w:highlight w:val="none"/>
          <w:lang w:val="en-US" w:eastAsia="zh-CN"/>
        </w:rPr>
        <w:t>第十四条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 xml:space="preserve">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本办法由市经济信息委负责解释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40"/>
          <w:highlight w:val="none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 w:firstLineChars="200"/>
        <w:jc w:val="left"/>
        <w:textAlignment w:val="auto"/>
        <w:outlineLvl w:val="9"/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2"/>
          <w:sz w:val="32"/>
          <w:szCs w:val="40"/>
          <w:highlight w:val="none"/>
          <w:lang w:val="en-US" w:eastAsia="zh-CN" w:bidi="ar-SA"/>
        </w:rPr>
        <w:t>第十五条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 xml:space="preserve">  本办法自印发之日起30日后施行，期间上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级部门发布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最新要求的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40"/>
          <w:highlight w:val="none"/>
          <w:lang w:val="en-US" w:eastAsia="zh-CN" w:bidi="ar-SA"/>
        </w:rPr>
        <w:t>按照上级部门有关规定执行。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sz w:val="21"/>
          <w:szCs w:val="24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0"/>
        </w:tabs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right="0" w:rightChars="0" w:firstLine="641" w:firstLineChars="0"/>
        <w:contextualSpacing/>
        <w:textAlignment w:val="auto"/>
        <w:rPr>
          <w:rFonts w:hint="eastAsia" w:ascii="Times New Roman" w:hAnsi="Times New Roman" w:eastAsia="方正仿宋_GBK" w:cs="Times New Roman"/>
          <w:kern w:val="0"/>
          <w:sz w:val="32"/>
          <w:szCs w:val="32"/>
          <w:shd w:val="clear" w:color="auto" w:fill="FFFFFF"/>
          <w:lang w:eastAsia="zh-CN" w:bidi="ar-SA"/>
        </w:rPr>
      </w:pPr>
    </w:p>
    <w:sectPr>
      <w:headerReference r:id="rId3" w:type="default"/>
      <w:footerReference r:id="rId4" w:type="default"/>
      <w:pgSz w:w="11906" w:h="16838"/>
      <w:pgMar w:top="1962" w:right="1474" w:bottom="1848" w:left="1587" w:header="1417" w:footer="1247" w:gutter="0"/>
      <w:pgNumType w:fmt="numberInDash"/>
      <w:cols w:space="72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left="4788" w:leftChars="2280" w:firstLine="6400" w:firstLineChars="2000"/>
      <w:rPr>
        <w:sz w:val="32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s0lY7tAAAAAFAQAADwAAAAAA&#10;AAABACAAAAAiAAAAZHJzL2Rvd25yZXYueG1sUEsBAhQAFAAAAAgAh07iQMh2d9gbAgAAIwQAAA4A&#10;AAAAAAAAAQAgAAAAHwEAAGRycy9lMm9Eb2MueG1sUEsFBgAAAAAGAAYAWQEAAKw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7"/>
      <w:ind w:left="4788" w:leftChars="2280" w:firstLine="6400" w:firstLineChars="2000"/>
      <w:rPr>
        <w:sz w:val="32"/>
      </w:rPr>
    </w:pPr>
    <w:r>
      <w:rPr>
        <w:color w:val="FAFAFA"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76200</wp:posOffset>
              </wp:positionH>
              <wp:positionV relativeFrom="paragraph">
                <wp:posOffset>139065</wp:posOffset>
              </wp:positionV>
              <wp:extent cx="5409565" cy="1905"/>
              <wp:effectExtent l="0" t="0" r="0" b="0"/>
              <wp:wrapNone/>
              <wp:docPr id="2" name="直接连接符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09565" cy="1905"/>
                      </a:xfrm>
                      <a:prstGeom prst="straightConnector1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直接连接符 11" o:spid="_x0000_s1026" o:spt="32" type="#_x0000_t32" style="position:absolute;left:0pt;flip:y;margin-left:6pt;margin-top:10.95pt;height:0.15pt;width:425.95pt;z-index:251659264;mso-width-relative:page;mso-height-relative:page;" filled="f" stroked="t" coordsize="21600,21600" o:gfxdata="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1vPT&#10;c9YAAAAIAQAADwAAAAAAAAABACAAAAAiAAAAZHJzL2Rvd25yZXYueG1sUEsBAhQAFAAAAAgAh07i&#10;QFEJZD7rAQAAsQMAAA4AAAAAAAAAAQAgAAAAJQEAAGRycy9lMm9Eb2MueG1sUEsFBgAAAAAGAAYA&#10;WQEAAIIFAAAAAA==&#10;">
              <v:fill on="f" focussize="0,0"/>
              <v:stroke weight="1.75pt" color="#005192" joinstyle="miter"/>
              <v:imagedata o:title=""/>
              <o:lock v:ext="edit" aspectratio="f"/>
            </v:shape>
          </w:pict>
        </mc:Fallback>
      </mc:AlternateContent>
    </w:r>
  </w:p>
  <w:p>
    <w:pPr>
      <w:pStyle w:val="7"/>
      <w:wordWrap w:val="0"/>
      <w:jc w:val="right"/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</w:pP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重庆市经济和信息化委员会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>发布</w:t>
    </w: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 xml:space="preserve">  </w:t>
    </w:r>
    <w:r>
      <w:rPr>
        <w:rFonts w:hint="default" w:ascii="宋体" w:hAnsi="宋体" w:eastAsia="宋体" w:cs="宋体"/>
        <w:b/>
        <w:bCs/>
        <w:color w:val="005192"/>
        <w:sz w:val="28"/>
        <w:szCs w:val="44"/>
        <w:lang w:eastAsia="zh-CN"/>
      </w:rPr>
      <w:t xml:space="preserve">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jc w:val="left"/>
      <w:textAlignment w:val="center"/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CN"/>
      </w:rPr>
    </w:pPr>
    <w:r>
      <w:rPr>
        <w:rFonts w:hint="eastAsia" w:ascii="方正仿宋_GBK" w:hAnsi="方正仿宋_GBK" w:eastAsia="方正仿宋_GBK" w:cs="方正仿宋_GBK"/>
        <w:b/>
        <w:bCs/>
        <w:color w:val="000000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25400</wp:posOffset>
              </wp:positionH>
              <wp:positionV relativeFrom="paragraph">
                <wp:posOffset>348615</wp:posOffset>
              </wp:positionV>
              <wp:extent cx="5584190" cy="6985"/>
              <wp:effectExtent l="0" t="0" r="0" b="0"/>
              <wp:wrapNone/>
              <wp:docPr id="1" name="直接连接符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84190" cy="6985"/>
                      </a:xfrm>
                      <a:prstGeom prst="straightConnector1">
                        <a:avLst/>
                      </a:prstGeom>
                      <a:ln w="22225" cap="flat" cmpd="sng">
                        <a:solidFill>
                          <a:srgbClr val="005192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直接连接符 2" o:spid="_x0000_s1026" o:spt="32" type="#_x0000_t32" style="position:absolute;left:0pt;margin-left:2pt;margin-top:27.45pt;height:0.55pt;width:439.7pt;z-index:251658240;mso-width-relative:page;mso-height-relative:page;" filled="f" stroked="t" coordsize="21600,21600" o:gfxdata="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FC+OjWAAAABwEA&#10;AA8AAAAAAAAAAQAgAAAAIgAAAGRycy9kb3ducmV2LnhtbFBLAQIUABQAAAAIAIdO4kD/lGxc4wEA&#10;AKYDAAAOAAAAAAAAAAEAIAAAACUBAABkcnMvZTJvRG9jLnhtbFBLBQYAAAAABgAGAFkBAAB6BQAA&#10;AAA=&#10;">
              <v:fill on="f" focussize="0,0"/>
              <v:stroke weight="1.75pt" color="#005192" joinstyle="miter"/>
              <v:imagedata o:title=""/>
              <o:lock v:ext="edit" aspectratio="f"/>
            </v:shape>
          </w:pict>
        </mc:Fallback>
      </mc:AlternateContent>
    </w:r>
    <w:r>
      <w:rPr>
        <w:rFonts w:hint="eastAsia" w:ascii="宋体" w:hAnsi="宋体" w:eastAsia="宋体" w:cs="宋体"/>
        <w:b/>
        <w:bCs/>
        <w:color w:val="005192"/>
        <w:sz w:val="32"/>
      </w:rPr>
      <w:drawing>
        <wp:inline distT="0" distB="0" distL="114300" distR="114300">
          <wp:extent cx="308610" cy="308610"/>
          <wp:effectExtent l="0" t="0" r="15240" b="15240"/>
          <wp:docPr id="3" name="图片 3" descr="国徽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国徽1024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8610" cy="308610"/>
                  </a:xfrm>
                  <a:prstGeom prst="rect">
                    <a:avLst/>
                  </a:prstGeom>
                  <a:noFill/>
                  <a:ln w="9525">
                    <a:noFill/>
                  </a:ln>
                  <a:effectLst/>
                </pic:spPr>
              </pic:pic>
            </a:graphicData>
          </a:graphic>
        </wp:inline>
      </w:drawing>
    </w:r>
    <w:r>
      <w:rPr>
        <w:rFonts w:hint="eastAsia" w:ascii="宋体" w:hAnsi="宋体" w:cs="宋体"/>
        <w:b/>
        <w:bCs/>
        <w:color w:val="005192"/>
        <w:sz w:val="32"/>
        <w:lang w:eastAsia="zh-CN"/>
      </w:rPr>
      <w:t>重庆市经济和信息化委员会</w:t>
    </w:r>
    <w:r>
      <w:rPr>
        <w:rFonts w:hint="eastAsia" w:ascii="宋体" w:hAnsi="宋体" w:eastAsia="宋体" w:cs="宋体"/>
        <w:b/>
        <w:bCs/>
        <w:color w:val="005192"/>
        <w:sz w:val="32"/>
        <w:szCs w:val="32"/>
        <w:lang w:val="en-US" w:eastAsia="zh-Hans"/>
      </w:rPr>
      <w:t>规范性文件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8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FA03A9"/>
    <w:rsid w:val="019E71BD"/>
    <w:rsid w:val="01E93D58"/>
    <w:rsid w:val="04B679C3"/>
    <w:rsid w:val="05F07036"/>
    <w:rsid w:val="06E00104"/>
    <w:rsid w:val="080F63D8"/>
    <w:rsid w:val="09341458"/>
    <w:rsid w:val="098254C2"/>
    <w:rsid w:val="0A766EDE"/>
    <w:rsid w:val="0AD64BE8"/>
    <w:rsid w:val="0AED03C6"/>
    <w:rsid w:val="0B0912D7"/>
    <w:rsid w:val="0E025194"/>
    <w:rsid w:val="0EEF0855"/>
    <w:rsid w:val="11DB7C71"/>
    <w:rsid w:val="127560DD"/>
    <w:rsid w:val="152D2DCA"/>
    <w:rsid w:val="187168EA"/>
    <w:rsid w:val="18D60355"/>
    <w:rsid w:val="18FA03A9"/>
    <w:rsid w:val="196673CA"/>
    <w:rsid w:val="1CF734C9"/>
    <w:rsid w:val="1DEC284C"/>
    <w:rsid w:val="1E6523AC"/>
    <w:rsid w:val="22440422"/>
    <w:rsid w:val="22BB4BBB"/>
    <w:rsid w:val="24CD0976"/>
    <w:rsid w:val="25EB1AF4"/>
    <w:rsid w:val="27925691"/>
    <w:rsid w:val="2DD05FE1"/>
    <w:rsid w:val="2EAE3447"/>
    <w:rsid w:val="31A15F24"/>
    <w:rsid w:val="36FB1DF0"/>
    <w:rsid w:val="395347B5"/>
    <w:rsid w:val="39A232A0"/>
    <w:rsid w:val="39E745AA"/>
    <w:rsid w:val="3B5A6BBB"/>
    <w:rsid w:val="3CA154E3"/>
    <w:rsid w:val="3EDA13A6"/>
    <w:rsid w:val="3FF56C14"/>
    <w:rsid w:val="417B75E9"/>
    <w:rsid w:val="42430A63"/>
    <w:rsid w:val="42F058B7"/>
    <w:rsid w:val="436109F6"/>
    <w:rsid w:val="441A38D4"/>
    <w:rsid w:val="4504239D"/>
    <w:rsid w:val="4BC77339"/>
    <w:rsid w:val="4C9236C5"/>
    <w:rsid w:val="4E250A85"/>
    <w:rsid w:val="4FFD4925"/>
    <w:rsid w:val="505C172E"/>
    <w:rsid w:val="506405EA"/>
    <w:rsid w:val="52F46F0B"/>
    <w:rsid w:val="532B6A10"/>
    <w:rsid w:val="539E4E99"/>
    <w:rsid w:val="53D8014D"/>
    <w:rsid w:val="550C209A"/>
    <w:rsid w:val="55E064E0"/>
    <w:rsid w:val="572C6D10"/>
    <w:rsid w:val="5DC34279"/>
    <w:rsid w:val="5E500467"/>
    <w:rsid w:val="5FCD688E"/>
    <w:rsid w:val="5FF9BDAA"/>
    <w:rsid w:val="608816D1"/>
    <w:rsid w:val="60EF4E7F"/>
    <w:rsid w:val="648B0A32"/>
    <w:rsid w:val="658F6764"/>
    <w:rsid w:val="665233C1"/>
    <w:rsid w:val="69AC0D42"/>
    <w:rsid w:val="6A597EEA"/>
    <w:rsid w:val="6AD9688B"/>
    <w:rsid w:val="6B68303F"/>
    <w:rsid w:val="6C3F3E39"/>
    <w:rsid w:val="6D0E3F22"/>
    <w:rsid w:val="744E4660"/>
    <w:rsid w:val="753355A2"/>
    <w:rsid w:val="759F1C61"/>
    <w:rsid w:val="769F2DE8"/>
    <w:rsid w:val="76C673E0"/>
    <w:rsid w:val="76FDEB7C"/>
    <w:rsid w:val="78135569"/>
    <w:rsid w:val="79C65162"/>
    <w:rsid w:val="79EE7E31"/>
    <w:rsid w:val="7C9011D9"/>
    <w:rsid w:val="7DC651C5"/>
    <w:rsid w:val="7FCC2834"/>
    <w:rsid w:val="92DD1CEF"/>
    <w:rsid w:val="BD9D1569"/>
    <w:rsid w:val="EBDDA9D0"/>
    <w:rsid w:val="F05B4F69"/>
    <w:rsid w:val="F7F902F6"/>
    <w:rsid w:val="F97D9566"/>
    <w:rsid w:val="FDFF411C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kern w:val="36"/>
      <w:sz w:val="24"/>
      <w:szCs w:val="24"/>
      <w:lang w:val="en-US" w:eastAsia="zh-CN" w:bidi="ar-SA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Calibri" w:hAnsi="Calibri" w:eastAsia="仿宋_GB2312" w:cs="Times New Roman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index 7"/>
    <w:basedOn w:val="1"/>
    <w:next w:val="1"/>
    <w:qFormat/>
    <w:uiPriority w:val="0"/>
    <w:pPr>
      <w:ind w:left="2520"/>
    </w:pPr>
    <w:rPr>
      <w:rFonts w:ascii="Calibri" w:hAnsi="Calibri" w:eastAsia="宋体" w:cs="Times New Roman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  <w:bCs/>
    </w:rPr>
  </w:style>
  <w:style w:type="paragraph" w:customStyle="1" w:styleId="13">
    <w:name w:val="p0"/>
    <w:basedOn w:val="1"/>
    <w:qFormat/>
    <w:uiPriority w:val="0"/>
    <w:pPr>
      <w:widowControl/>
    </w:pPr>
    <w:rPr>
      <w:rFonts w:ascii="Calibri" w:hAnsi="Calibri" w:eastAsia="宋体" w:cs="宋体"/>
      <w:kern w:val="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wps\zh_CN\2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2.wpt</Template>
  <Pages>4</Pages>
  <Words>1105</Words>
  <Characters>1160</Characters>
  <Lines>1</Lines>
  <Paragraphs>1</Paragraphs>
  <ScaleCrop>false</ScaleCrop>
  <LinksUpToDate>false</LinksUpToDate>
  <CharactersWithSpaces>1204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2024-01-05T01:55:00Z</dcterms:created>
  <dc:creator>熊雪芹</dc:creator>
  <cp:lastModifiedBy>徐琳</cp:lastModifiedBy>
  <dcterms:modified xsi:type="dcterms:W3CDTF">2024-11-27T03:29:29Z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48C61CB29D3F4D9384F5922CF0F7FFB4</vt:lpwstr>
  </property>
</Properties>
</file>